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4"/>
          <w:szCs w:val="24"/>
          <w:lang w:val="en-US" w:eastAsia="zh-CN"/>
        </w:rPr>
        <w:t>附件</w:t>
      </w:r>
    </w:p>
    <w:p>
      <w:pPr>
        <w:widowControl/>
        <w:spacing w:line="240" w:lineRule="auto"/>
        <w:ind w:firstLine="0" w:firstLineChars="0"/>
        <w:jc w:val="center"/>
        <w:rPr>
          <w:rFonts w:hint="default" w:ascii="微软雅黑" w:hAnsi="微软雅黑" w:eastAsia="微软雅黑" w:cs="宋体"/>
          <w:color w:val="444444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国家标准《公路路面等级与面层类型代码》解读</w:t>
      </w:r>
      <w:bookmarkEnd w:id="0"/>
    </w:p>
    <w:p>
      <w:pPr>
        <w:widowControl/>
        <w:spacing w:line="360" w:lineRule="auto"/>
        <w:ind w:firstLine="551" w:firstLineChars="196"/>
        <w:outlineLvl w:val="0"/>
        <w:rPr>
          <w:rFonts w:ascii="Times New Roman" w:hAnsi="Times New Roman" w:eastAsia="黑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333333"/>
          <w:kern w:val="0"/>
          <w:sz w:val="28"/>
          <w:szCs w:val="28"/>
        </w:rPr>
        <w:t>一、修订背景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  <w:lang w:val="en-US" w:eastAsia="zh-CN"/>
        </w:rPr>
        <w:t>自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《公路路面等级与面层类型代码》（GB/T 920—2002）发布实施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  <w:lang w:val="en-US" w:eastAsia="zh-CN"/>
        </w:rPr>
        <w:t>的20余年来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，我国公路基础设施跨越式发展，公路总里程由423万公里跃升至528万公里，路网规模位居世界前列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。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公路路面的结构、材料、工艺等进步显著，相关标准规范完成更新升级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。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基础设施数字化发展、数据统计制度等信息化建设进一步规范与健全。为反映公路路面及其信息化的建设经验和技术成果，与相关标准规范、统计制度进一步衔接协调，助力交通基础设施的高质量发展，按协调性、适用性、系统性、可扩展性的原则，交通运输部组织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  <w:lang w:val="en-US" w:eastAsia="zh-CN"/>
        </w:rPr>
        <w:t>中交公路规划设计院有限公司等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单位开展了《公路路面等级与面层类型代码》的修订。</w:t>
      </w:r>
    </w:p>
    <w:p>
      <w:pPr>
        <w:widowControl/>
        <w:spacing w:line="360" w:lineRule="auto"/>
        <w:ind w:firstLine="562" w:firstLineChars="200"/>
        <w:outlineLvl w:val="0"/>
        <w:rPr>
          <w:rFonts w:ascii="Times New Roman" w:hAnsi="Times New Roman" w:eastAsia="黑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333333"/>
          <w:kern w:val="0"/>
          <w:sz w:val="28"/>
          <w:szCs w:val="28"/>
        </w:rPr>
        <w:t>二、标准的定位和作用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本标准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规定了公路路面等级与面层类型的术语和定义、等级与类型划分原则、编码方法及代码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等内容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，适用于公路路面等级与面层类型信息的处理与交换，对公路交通基础设施信息化建设和交通数据统计起到了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基础性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支撑作用。</w:t>
      </w:r>
    </w:p>
    <w:p>
      <w:pPr>
        <w:widowControl/>
        <w:spacing w:line="360" w:lineRule="auto"/>
        <w:ind w:firstLine="562" w:firstLineChars="200"/>
        <w:outlineLvl w:val="0"/>
        <w:rPr>
          <w:rFonts w:ascii="Times New Roman" w:hAnsi="Times New Roman" w:eastAsia="黑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333333"/>
          <w:kern w:val="0"/>
          <w:sz w:val="28"/>
          <w:szCs w:val="28"/>
        </w:rPr>
        <w:t>三、标准的主要修订内容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与2002版（GB/T 920—2002）相比，主要做了以下方面的修订：</w:t>
      </w:r>
    </w:p>
    <w:p>
      <w:pPr>
        <w:widowControl/>
        <w:spacing w:line="360" w:lineRule="auto"/>
        <w:ind w:firstLine="480" w:firstLineChars="200"/>
        <w:outlineLvl w:val="1"/>
        <w:rPr>
          <w:rFonts w:ascii="Times New Roman" w:hAnsi="Times New Roman" w:eastAsia="黑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333333"/>
          <w:kern w:val="0"/>
          <w:sz w:val="24"/>
          <w:szCs w:val="24"/>
        </w:rPr>
        <w:t>（一） 增加了相关的术语和定义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按照《标准化工作导则 第1部分：标准化文件的结构和起草规则》（GB/T 1.1—2020）、《标准编写规则 第3部分：分类标准》（GB/T 20001.3—2015）的规定，增加了“术语和定义”一章。参照现行相关行业标准，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明确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了路面、面层、沥青混凝土面层、水泥混凝土面层、沥青表面处治、沥青碎石面层、块体类面层、砂石类面层的术语和定义。</w:t>
      </w:r>
    </w:p>
    <w:p>
      <w:pPr>
        <w:widowControl/>
        <w:spacing w:line="360" w:lineRule="auto"/>
        <w:ind w:firstLine="480" w:firstLineChars="200"/>
        <w:outlineLvl w:val="1"/>
        <w:rPr>
          <w:rFonts w:ascii="Times New Roman" w:hAnsi="Times New Roman" w:eastAsia="黑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333333"/>
          <w:kern w:val="0"/>
          <w:sz w:val="24"/>
          <w:szCs w:val="24"/>
        </w:rPr>
        <w:t>（二） 更改了路面等级和面层类型的划分；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按照《公路路线标识规则和国道编号》（GB/T 917—2017）的规定，依据公路技术等级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路面等级划分为6个等级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，包括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高速公路、高速公路、一级公路、二级公路、三级公路、四级公路、等外公路；依据材料类型和铺筑工艺，并考虑工程应用情况，面层类型划分为7个类型</w:t>
      </w: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，包括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沥青混凝土面层、水泥混凝土面层、沥青表面处治、沥青碎石面层、块体类面层、砂石类面层、其他面层。</w:t>
      </w:r>
    </w:p>
    <w:p>
      <w:pPr>
        <w:widowControl/>
        <w:spacing w:line="360" w:lineRule="auto"/>
        <w:ind w:firstLine="480" w:firstLineChars="200"/>
        <w:outlineLvl w:val="1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bCs/>
          <w:color w:val="333333"/>
          <w:kern w:val="0"/>
          <w:sz w:val="24"/>
          <w:szCs w:val="24"/>
        </w:rPr>
        <w:t>（三）</w:t>
      </w:r>
      <w:r>
        <w:rPr>
          <w:rFonts w:ascii="Times New Roman" w:hAnsi="Times New Roman" w:eastAsia="黑体" w:cs="Times New Roman"/>
          <w:bCs/>
          <w:color w:val="333333"/>
          <w:kern w:val="0"/>
          <w:sz w:val="24"/>
          <w:szCs w:val="24"/>
        </w:rPr>
        <w:t>更改</w:t>
      </w: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了代码结构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bCs/>
          <w:color w:val="333333"/>
          <w:kern w:val="0"/>
          <w:sz w:val="24"/>
          <w:szCs w:val="24"/>
        </w:rPr>
        <w:t>参照《标准编写规则 第3部分：分类标准》（GB/T 20001.3—2015）的规定，编码采用线分类法，代码结构采用LM+四位数，其中LM为路面的缩写，四位数为路面等级的代码+面层类型的代码，如采用水泥混凝土面层的一级公路路面，其代码为LM1120。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微软雅黑" w:cs="Times New Roman"/>
          <w:color w:val="333333"/>
          <w:kern w:val="0"/>
          <w:sz w:val="24"/>
          <w:szCs w:val="24"/>
        </w:rPr>
      </w:pPr>
    </w:p>
    <w:p>
      <w:pPr>
        <w:widowControl/>
        <w:spacing w:line="360" w:lineRule="auto"/>
        <w:ind w:firstLine="960" w:firstLineChars="40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微软雅黑" w:cs="Times New Roman"/>
          <w:color w:val="333333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587" w:right="1814" w:bottom="158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DgzNmJlYjVjMTIwOWIyOWI2ZTk3MzM3NzFkZjUifQ=="/>
  </w:docVars>
  <w:rsids>
    <w:rsidRoot w:val="388348C1"/>
    <w:rsid w:val="388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2023-04-25T09:00:00Z</dcterms:created>
  <dc:creator>黄森</dc:creator>
  <cp:lastModifiedBy>黄森</cp:lastModifiedBy>
  <dcterms:modified xsi:type="dcterms:W3CDTF">2023-04-25T09:04:00Z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92B2778355574B61ADBB0BB9ED81D172_11</vt:lpwstr>
  </property>
</Properties>
</file>